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330"/>
      </w:tblGrid>
      <w:tr w:rsidR="008D4C73">
        <w:trPr>
          <w:cantSplit/>
          <w:trHeight w:val="1600"/>
        </w:trPr>
        <w:tc>
          <w:tcPr>
            <w:tcW w:w="6930" w:type="dxa"/>
            <w:vAlign w:val="center"/>
          </w:tcPr>
          <w:p w:rsidR="008D4C73" w:rsidRPr="00482563" w:rsidRDefault="008D4C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1F3864" w:themeColor="accent5" w:themeShade="80"/>
                <w:u w:val="single"/>
              </w:rPr>
            </w:pPr>
            <w:r w:rsidRPr="00482563">
              <w:rPr>
                <w:rFonts w:ascii="Arial" w:hAnsi="Arial"/>
                <w:b/>
                <w:color w:val="1F3864" w:themeColor="accent5" w:themeShade="80"/>
                <w:u w:val="single"/>
              </w:rPr>
              <w:t>Model-Netics Instructor Training Program (ITP)</w:t>
            </w:r>
          </w:p>
          <w:p w:rsidR="008D4C73" w:rsidRPr="00482563" w:rsidRDefault="008D4C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1F3864" w:themeColor="accent5" w:themeShade="80"/>
                <w:u w:val="single"/>
              </w:rPr>
            </w:pPr>
          </w:p>
          <w:p w:rsidR="008D4C73" w:rsidRPr="00482563" w:rsidRDefault="008D4C73">
            <w:pPr>
              <w:pStyle w:val="Heading5"/>
              <w:rPr>
                <w:color w:val="1F3864" w:themeColor="accent5" w:themeShade="80"/>
                <w:sz w:val="34"/>
                <w:szCs w:val="34"/>
              </w:rPr>
            </w:pPr>
            <w:r w:rsidRPr="00482563">
              <w:rPr>
                <w:rFonts w:ascii="Arial" w:hAnsi="Arial"/>
                <w:color w:val="1F3864" w:themeColor="accent5" w:themeShade="80"/>
                <w:sz w:val="34"/>
                <w:szCs w:val="34"/>
              </w:rPr>
              <w:t>MEMC ITP Transfer/Cancellation Policy</w:t>
            </w:r>
          </w:p>
          <w:p w:rsidR="008D4C73" w:rsidRPr="00482563" w:rsidRDefault="008D4C73">
            <w:pPr>
              <w:rPr>
                <w:color w:val="1F3864" w:themeColor="accent5" w:themeShade="80"/>
              </w:rPr>
            </w:pPr>
            <w:r w:rsidRPr="00482563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A0466A" w:rsidRPr="00482563" w:rsidRDefault="006A7943">
            <w:pPr>
              <w:ind w:left="-18"/>
              <w:rPr>
                <w:color w:val="1F3864" w:themeColor="accent5" w:themeShade="80"/>
              </w:rPr>
            </w:pPr>
            <w:r w:rsidRPr="00482563">
              <w:rPr>
                <w:rFonts w:ascii="Arial" w:hAnsi="Arial"/>
                <w:b/>
                <w:noProof/>
                <w:color w:val="1F3864" w:themeColor="accent5" w:themeShade="8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C96CB9" wp14:editId="2B5CE48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41910</wp:posOffset>
                      </wp:positionV>
                      <wp:extent cx="914400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C73" w:rsidRDefault="006A7943">
                                  <w:r w:rsidRPr="0033385C">
                                    <w:rPr>
                                      <w:rFonts w:ascii="Arial" w:hAnsi="Arial" w:cs="Arial"/>
                                      <w:noProof/>
                                      <w:color w:val="00008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B6515E8" wp14:editId="400617B5">
                                        <wp:extent cx="714375" cy="704850"/>
                                        <wp:effectExtent l="0" t="0" r="9525" b="0"/>
                                        <wp:docPr id="1" name="Picture 1" descr="MEM compass Adobe 281 bl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EM compass Adobe 281 bl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saturation sat="33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688" t="24719" r="15584" b="205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D4C73" w:rsidRDefault="008D4C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.55pt;margin-top:3.3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3GsA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" filled="f" stroked="f">
                      <v:textbox>
                        <w:txbxContent>
                          <w:p w:rsidR="008D4C73" w:rsidRDefault="006A7943">
                            <w:r w:rsidRPr="0033385C">
                              <w:rPr>
                                <w:rFonts w:ascii="Arial" w:hAnsi="Arial" w:cs="Arial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14375" cy="704850"/>
                                  <wp:effectExtent l="0" t="0" r="9525" b="0"/>
                                  <wp:docPr id="1" name="Picture 1" descr="MEM compass Adobe 281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 compass Adobe 281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88" t="24719" r="15584" b="205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C73" w:rsidRDefault="008D4C73"/>
                        </w:txbxContent>
                      </v:textbox>
                    </v:shape>
                  </w:pict>
                </mc:Fallback>
              </mc:AlternateContent>
            </w:r>
            <w:r w:rsidR="008D4C73" w:rsidRPr="00482563">
              <w:rPr>
                <w:color w:val="1F3864" w:themeColor="accent5" w:themeShade="80"/>
              </w:rPr>
              <w:t xml:space="preserve"> </w:t>
            </w:r>
          </w:p>
          <w:p w:rsidR="008D4C73" w:rsidRPr="00482563" w:rsidRDefault="008D4C73">
            <w:pPr>
              <w:ind w:left="-18"/>
              <w:rPr>
                <w:rFonts w:ascii="Arial" w:hAnsi="Arial"/>
                <w:color w:val="1F3864" w:themeColor="accent5" w:themeShade="80"/>
              </w:rPr>
            </w:pPr>
            <w:r w:rsidRPr="00482563">
              <w:rPr>
                <w:rFonts w:ascii="Arial" w:hAnsi="Arial"/>
                <w:color w:val="1F3864" w:themeColor="accent5" w:themeShade="80"/>
              </w:rPr>
              <w:t>MAIN EVENT</w:t>
            </w:r>
          </w:p>
          <w:p w:rsidR="008D4C73" w:rsidRPr="00482563" w:rsidRDefault="008D4C73">
            <w:pPr>
              <w:ind w:left="-18"/>
              <w:rPr>
                <w:rFonts w:ascii="Arial" w:hAnsi="Arial"/>
                <w:color w:val="1F3864" w:themeColor="accent5" w:themeShade="80"/>
              </w:rPr>
            </w:pPr>
            <w:r w:rsidRPr="00482563">
              <w:rPr>
                <w:rFonts w:ascii="Arial" w:hAnsi="Arial"/>
                <w:color w:val="1F3864" w:themeColor="accent5" w:themeShade="80"/>
              </w:rPr>
              <w:t>MANAGEMENT</w:t>
            </w:r>
          </w:p>
          <w:p w:rsidR="008D4C73" w:rsidRPr="00482563" w:rsidRDefault="008D4C73">
            <w:pPr>
              <w:ind w:left="-18"/>
              <w:rPr>
                <w:color w:val="1F3864" w:themeColor="accent5" w:themeShade="80"/>
              </w:rPr>
            </w:pPr>
            <w:r w:rsidRPr="00482563">
              <w:rPr>
                <w:rFonts w:ascii="Arial" w:hAnsi="Arial"/>
                <w:color w:val="1F3864" w:themeColor="accent5" w:themeShade="80"/>
              </w:rPr>
              <w:t>INSTITUTE</w:t>
            </w:r>
          </w:p>
        </w:tc>
      </w:tr>
    </w:tbl>
    <w:p w:rsidR="008D4C73" w:rsidRPr="00912B1C" w:rsidRDefault="008D4C73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8D4C73" w:rsidTr="00276897">
        <w:trPr>
          <w:trHeight w:val="341"/>
        </w:trPr>
        <w:tc>
          <w:tcPr>
            <w:tcW w:w="10260" w:type="dxa"/>
            <w:gridSpan w:val="2"/>
          </w:tcPr>
          <w:p w:rsidR="008D4C73" w:rsidRPr="00530D8D" w:rsidRDefault="008D4C73">
            <w:pPr>
              <w:ind w:right="144"/>
              <w:jc w:val="both"/>
              <w:rPr>
                <w:rFonts w:asciiTheme="minorHAnsi" w:hAnsiTheme="minorHAnsi"/>
                <w:color w:val="000080"/>
              </w:rPr>
            </w:pPr>
          </w:p>
          <w:p w:rsidR="008D4C73" w:rsidRPr="00276897" w:rsidRDefault="008D4C73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276897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The policy regarding transfer and cancellation of paid reservations</w:t>
            </w:r>
            <w:r w:rsidR="00852AD6" w:rsidRPr="00276897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for the Model-Netics Instructor Training Program</w:t>
            </w:r>
            <w:r w:rsidRPr="00276897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is as follows:</w:t>
            </w:r>
          </w:p>
          <w:p w:rsidR="008D4C73" w:rsidRPr="00530D8D" w:rsidRDefault="008D4C73">
            <w:pPr>
              <w:ind w:right="144"/>
              <w:rPr>
                <w:rFonts w:asciiTheme="minorHAnsi" w:hAnsiTheme="minorHAnsi"/>
                <w:color w:val="000080"/>
                <w:sz w:val="16"/>
                <w:szCs w:val="16"/>
              </w:rPr>
            </w:pPr>
          </w:p>
        </w:tc>
      </w:tr>
      <w:tr w:rsidR="008D4C73" w:rsidRPr="00B8080B" w:rsidTr="00276897">
        <w:trPr>
          <w:trHeight w:val="360"/>
        </w:trPr>
        <w:tc>
          <w:tcPr>
            <w:tcW w:w="10260" w:type="dxa"/>
            <w:gridSpan w:val="2"/>
          </w:tcPr>
          <w:p w:rsidR="00530D8D" w:rsidRDefault="00530D8D">
            <w:pPr>
              <w:ind w:right="144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  <w:p w:rsidR="008D4C73" w:rsidRPr="00530D8D" w:rsidRDefault="00530D8D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530D8D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REQUESTS TO TRANSFER</w:t>
            </w:r>
          </w:p>
          <w:p w:rsidR="006E6156" w:rsidRPr="00530D8D" w:rsidRDefault="008D4C73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A written 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r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equest to 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t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ransfer to a future ITP </w:t>
            </w:r>
            <w:r w:rsidR="006E6156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is required.  Associated 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transfer </w:t>
            </w:r>
            <w:r w:rsidR="006E6156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fees </w:t>
            </w:r>
            <w:r w:rsidR="00340EF1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for administrative costs incurred 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are </w:t>
            </w:r>
            <w:r w:rsidR="006E6156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based on </w:t>
            </w:r>
            <w:r w:rsidR="009F0D5A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the number of days before the ITP start date that notice is received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</w:t>
            </w:r>
          </w:p>
          <w:p w:rsidR="00DD34F3" w:rsidRPr="00530D8D" w:rsidRDefault="00DD34F3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  <w:p w:rsidR="006E6156" w:rsidRPr="00530D8D" w:rsidRDefault="00DD34F3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  <w:u w:val="single"/>
              </w:rPr>
              <w:t>Number of Days before ITP Start Date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          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  <w:u w:val="single"/>
              </w:rPr>
              <w:t>Transfer Fee</w:t>
            </w:r>
          </w:p>
          <w:p w:rsidR="006E6156" w:rsidRPr="00530D8D" w:rsidRDefault="006E6156" w:rsidP="006E6156">
            <w:pPr>
              <w:ind w:left="2880"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More than 30 days……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……………</w:t>
            </w:r>
            <w:r w:rsidR="00671676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...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</w:t>
            </w:r>
            <w:r w:rsidR="00B8080B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…..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No fee</w:t>
            </w:r>
          </w:p>
          <w:p w:rsidR="006E6156" w:rsidRPr="00530D8D" w:rsidRDefault="006E6156" w:rsidP="006E6156">
            <w:pPr>
              <w:ind w:left="2880"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1</w:t>
            </w:r>
            <w:r w:rsidR="00911A95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4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– 30 days…………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…………</w:t>
            </w:r>
            <w:r w:rsidR="00530D8D">
              <w:rPr>
                <w:rFonts w:asciiTheme="minorHAnsi" w:hAnsiTheme="minorHAnsi"/>
                <w:color w:val="1F3864" w:themeColor="accent5" w:themeShade="80"/>
                <w:sz w:val="20"/>
              </w:rPr>
              <w:t>…..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</w:t>
            </w:r>
            <w:r w:rsidR="009F0D5A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……</w:t>
            </w:r>
            <w:r w:rsidR="00B8080B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$250.00</w:t>
            </w:r>
          </w:p>
          <w:p w:rsidR="006E6156" w:rsidRPr="00530D8D" w:rsidRDefault="006E6156" w:rsidP="006E6156">
            <w:pPr>
              <w:ind w:left="2880"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Less than 1</w:t>
            </w:r>
            <w:r w:rsidR="00911A95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4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days……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………</w:t>
            </w:r>
            <w:r w:rsidR="00530D8D">
              <w:rPr>
                <w:rFonts w:asciiTheme="minorHAnsi" w:hAnsiTheme="minorHAnsi"/>
                <w:color w:val="1F3864" w:themeColor="accent5" w:themeShade="80"/>
                <w:sz w:val="20"/>
              </w:rPr>
              <w:t>…</w:t>
            </w:r>
            <w:r w:rsidR="00DD34F3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…….</w:t>
            </w:r>
            <w:r w:rsidR="00671676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</w:t>
            </w:r>
            <w:r w:rsidR="00B8080B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…..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$500.00</w:t>
            </w:r>
          </w:p>
          <w:p w:rsidR="006E6156" w:rsidRPr="00530D8D" w:rsidRDefault="006E6156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</w:t>
            </w:r>
          </w:p>
          <w:p w:rsidR="008D4C73" w:rsidRPr="00530D8D" w:rsidRDefault="00F00D0C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Any cancellation subsequent to a Request to Transfer is subject to a $</w:t>
            </w:r>
            <w:r w:rsidR="00251C34">
              <w:rPr>
                <w:rFonts w:asciiTheme="minorHAnsi" w:hAnsiTheme="minorHAnsi"/>
                <w:color w:val="1F3864" w:themeColor="accent5" w:themeShade="80"/>
                <w:sz w:val="20"/>
              </w:rPr>
              <w:t>2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,000.00 reservation release fee.  </w:t>
            </w:r>
          </w:p>
          <w:p w:rsidR="002641EF" w:rsidRPr="00530D8D" w:rsidRDefault="002641EF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  <w:p w:rsidR="008D4C73" w:rsidRPr="00530D8D" w:rsidRDefault="00DD34F3" w:rsidP="002641EF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/>
                <w:b/>
                <w:color w:val="1F3864" w:themeColor="accent5" w:themeShade="80"/>
                <w:sz w:val="20"/>
              </w:rPr>
              <w:t>NOTE:</w:t>
            </w: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MEMC offers 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the ITP in different format</w:t>
            </w:r>
            <w:r w:rsidR="00C14E67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s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. Registration for one format does not guarantee the ability to transfer to another ITP 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of the same format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. Registrants who desire to transfer will be limited in choice to the ITP</w:t>
            </w:r>
            <w:r w:rsidR="00530D8D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formats</w:t>
            </w:r>
            <w:r w:rsidR="002641EF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being offered at that time. </w:t>
            </w:r>
          </w:p>
          <w:p w:rsidR="002641EF" w:rsidRPr="00530D8D" w:rsidRDefault="002641EF" w:rsidP="002641EF">
            <w:pPr>
              <w:ind w:right="144"/>
              <w:jc w:val="both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</w:tc>
      </w:tr>
      <w:tr w:rsidR="008D4C73" w:rsidTr="00276897">
        <w:trPr>
          <w:trHeight w:val="360"/>
        </w:trPr>
        <w:tc>
          <w:tcPr>
            <w:tcW w:w="10260" w:type="dxa"/>
            <w:gridSpan w:val="2"/>
          </w:tcPr>
          <w:p w:rsidR="008D4C73" w:rsidRPr="00530D8D" w:rsidRDefault="008D4C73">
            <w:pPr>
              <w:ind w:right="144"/>
              <w:rPr>
                <w:rFonts w:asciiTheme="minorHAnsi" w:hAnsiTheme="minorHAnsi"/>
                <w:color w:val="1F3864" w:themeColor="accent5" w:themeShade="80"/>
                <w:sz w:val="16"/>
                <w:szCs w:val="16"/>
              </w:rPr>
            </w:pPr>
          </w:p>
          <w:p w:rsidR="00530D8D" w:rsidRPr="00276897" w:rsidRDefault="00530D8D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276897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CANCELLATIONS</w:t>
            </w:r>
          </w:p>
          <w:p w:rsidR="009F0D5A" w:rsidRPr="00530D8D" w:rsidRDefault="008D4C73" w:rsidP="009F0D5A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Written notification of cancellation 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is required.  </w:t>
            </w:r>
            <w:r w:rsidR="00F00D0C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Cancellation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 fees </w:t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are 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based on the </w:t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number of days before the ITP start date that notice is received.</w:t>
            </w:r>
          </w:p>
          <w:p w:rsidR="00340EF1" w:rsidRPr="00530D8D" w:rsidRDefault="00340EF1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</w:p>
          <w:p w:rsidR="009F0D5A" w:rsidRPr="00530D8D" w:rsidRDefault="009F0D5A" w:rsidP="009F0D5A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  <w:u w:val="single"/>
              </w:rPr>
              <w:t>Number of Days before ITP Start Date</w:t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           </w:t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  <w:u w:val="single"/>
              </w:rPr>
              <w:t>Cancellation Fee</w:t>
            </w:r>
            <w:r w:rsidR="00042C9B" w:rsidRPr="00530D8D">
              <w:rPr>
                <w:rFonts w:asciiTheme="minorHAnsi" w:hAnsiTheme="minorHAnsi" w:cs="Arial"/>
                <w:color w:val="1F3864" w:themeColor="accent5" w:themeShade="80"/>
                <w:sz w:val="20"/>
                <w:u w:val="single"/>
              </w:rPr>
              <w:t>*</w:t>
            </w:r>
          </w:p>
          <w:p w:rsidR="009F0D5A" w:rsidRPr="00530D8D" w:rsidRDefault="009F0D5A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</w:p>
          <w:p w:rsidR="00B8080B" w:rsidRPr="00530D8D" w:rsidRDefault="00B8080B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More than 30 days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………………</w:t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…….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……..</w:t>
            </w:r>
            <w:r w:rsidR="00911A95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$</w:t>
            </w:r>
            <w:r w:rsidR="00530D8D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10</w:t>
            </w:r>
            <w:r w:rsidR="00911A95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00.00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 </w:t>
            </w:r>
          </w:p>
          <w:p w:rsidR="000B2FCC" w:rsidRPr="00530D8D" w:rsidRDefault="00B8080B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</w:p>
          <w:p w:rsidR="00B8080B" w:rsidRPr="00530D8D" w:rsidRDefault="000B2FCC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Less than 30 days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………</w:t>
            </w:r>
            <w:r w:rsidR="00276897">
              <w:rPr>
                <w:rFonts w:asciiTheme="minorHAnsi" w:hAnsiTheme="minorHAnsi" w:cs="Arial"/>
                <w:color w:val="1F3864" w:themeColor="accent5" w:themeShade="80"/>
                <w:sz w:val="20"/>
              </w:rPr>
              <w:t>.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</w:t>
            </w:r>
            <w:r w:rsidR="00530D8D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...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</w:t>
            </w:r>
            <w:r w:rsidR="009F0D5A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…..</w:t>
            </w:r>
            <w:r w:rsidR="00807662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……..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$</w:t>
            </w:r>
            <w:r w:rsidR="00530D8D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2</w:t>
            </w:r>
            <w:r w:rsidR="00340EF1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,000.00</w:t>
            </w:r>
          </w:p>
          <w:p w:rsidR="00530D8D" w:rsidRPr="00530D8D" w:rsidRDefault="00530D8D" w:rsidP="001758A4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</w:p>
          <w:p w:rsidR="00F00D0C" w:rsidRPr="00530D8D" w:rsidRDefault="00530D8D" w:rsidP="001758A4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20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NOTE: A minimum number of registrants </w:t>
            </w:r>
            <w:proofErr w:type="gramStart"/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is</w:t>
            </w:r>
            <w:proofErr w:type="gramEnd"/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 required to conduct the Model-Netics Instructor Training Program. </w:t>
            </w:r>
            <w:r w:rsidR="00796BA9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MEMC reserves the right to cancel a scheduled Instructor Training Program without prior notice up to two weeks prior to the start date. </w:t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Upon cancellation by MEMC, all paid registrants will have the option of transferring to a future training</w:t>
            </w:r>
            <w:r w:rsidR="00796BA9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 </w:t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 xml:space="preserve">or receiving </w:t>
            </w:r>
            <w:bookmarkStart w:id="0" w:name="_GoBack"/>
            <w:bookmarkEnd w:id="0"/>
            <w:r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>a reimbursement of all paid tuition &amp; fees.</w:t>
            </w:r>
            <w:r w:rsidR="00B8080B" w:rsidRPr="00530D8D">
              <w:rPr>
                <w:rFonts w:asciiTheme="minorHAnsi" w:hAnsiTheme="minorHAnsi" w:cs="Arial"/>
                <w:color w:val="1F3864" w:themeColor="accent5" w:themeShade="80"/>
                <w:sz w:val="20"/>
              </w:rPr>
              <w:tab/>
            </w:r>
          </w:p>
          <w:p w:rsidR="00530D8D" w:rsidRPr="00530D8D" w:rsidRDefault="00530D8D" w:rsidP="001758A4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18"/>
                <w:szCs w:val="18"/>
              </w:rPr>
            </w:pPr>
          </w:p>
          <w:p w:rsidR="00530D8D" w:rsidRDefault="00F00D0C" w:rsidP="001758A4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16"/>
                <w:szCs w:val="16"/>
              </w:rPr>
            </w:pPr>
            <w:r w:rsidRPr="00530D8D">
              <w:rPr>
                <w:rFonts w:asciiTheme="minorHAnsi" w:hAnsiTheme="minorHAnsi" w:cs="Arial"/>
                <w:color w:val="1F3864" w:themeColor="accent5" w:themeShade="80"/>
                <w:sz w:val="18"/>
                <w:szCs w:val="18"/>
              </w:rPr>
              <w:t>*</w:t>
            </w:r>
            <w:r w:rsidRPr="00530D8D">
              <w:rPr>
                <w:rFonts w:asciiTheme="minorHAnsi" w:hAnsiTheme="minorHAnsi" w:cs="Arial"/>
                <w:color w:val="1F3864" w:themeColor="accent5" w:themeShade="80"/>
                <w:sz w:val="16"/>
                <w:szCs w:val="16"/>
              </w:rPr>
              <w:t>Withheld from original ITP registration fee.</w:t>
            </w:r>
          </w:p>
          <w:p w:rsidR="00276897" w:rsidRPr="00530D8D" w:rsidRDefault="00276897" w:rsidP="001758A4">
            <w:pPr>
              <w:ind w:right="144"/>
              <w:jc w:val="both"/>
              <w:rPr>
                <w:rFonts w:asciiTheme="minorHAnsi" w:hAnsiTheme="minorHAnsi"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276897" w:rsidTr="005E6058">
        <w:trPr>
          <w:trHeight w:val="1647"/>
        </w:trPr>
        <w:tc>
          <w:tcPr>
            <w:tcW w:w="5130" w:type="dxa"/>
          </w:tcPr>
          <w:p w:rsidR="00276897" w:rsidRDefault="00276897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0"/>
              </w:rPr>
            </w:pPr>
          </w:p>
          <w:p w:rsidR="00276897" w:rsidRPr="00530D8D" w:rsidRDefault="00276897">
            <w:pPr>
              <w:ind w:right="144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 w:rsidRPr="00276897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SUBSTITUTIONS</w:t>
            </w:r>
          </w:p>
          <w:p w:rsidR="00276897" w:rsidRDefault="00DF2B88" w:rsidP="00E97044">
            <w:pPr>
              <w:ind w:right="144"/>
              <w:rPr>
                <w:rFonts w:asciiTheme="minorHAnsi" w:hAnsiTheme="minorHAnsi"/>
                <w:color w:val="1F3864" w:themeColor="accent5" w:themeShade="80"/>
                <w:sz w:val="20"/>
              </w:rPr>
            </w:pPr>
            <w:r>
              <w:rPr>
                <w:rFonts w:asciiTheme="minorHAnsi" w:hAnsiTheme="minorHAnsi"/>
                <w:color w:val="1F3864" w:themeColor="accent5" w:themeShade="80"/>
                <w:sz w:val="20"/>
              </w:rPr>
              <w:t>P</w:t>
            </w:r>
            <w:r w:rsidR="00276897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articipant substitutions for paid reservations</w:t>
            </w:r>
            <w:r>
              <w:rPr>
                <w:rFonts w:asciiTheme="minorHAnsi" w:hAnsiTheme="minorHAnsi"/>
                <w:color w:val="1F3864" w:themeColor="accent5" w:themeShade="80"/>
                <w:sz w:val="20"/>
              </w:rPr>
              <w:t xml:space="preserve"> may be made </w:t>
            </w:r>
            <w:r w:rsidR="00276897"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without penalty up to the day of the first session of the ITP, but not thereafter.</w:t>
            </w:r>
          </w:p>
          <w:p w:rsidR="00276897" w:rsidRDefault="00276897" w:rsidP="00E97044">
            <w:pPr>
              <w:ind w:right="144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  <w:p w:rsidR="00276897" w:rsidRPr="00530D8D" w:rsidRDefault="00276897" w:rsidP="00E97044">
            <w:pPr>
              <w:ind w:right="144"/>
              <w:rPr>
                <w:rFonts w:asciiTheme="minorHAnsi" w:hAnsiTheme="minorHAnsi"/>
                <w:color w:val="1F3864" w:themeColor="accent5" w:themeShade="80"/>
                <w:sz w:val="20"/>
              </w:rPr>
            </w:pPr>
          </w:p>
        </w:tc>
        <w:tc>
          <w:tcPr>
            <w:tcW w:w="5130" w:type="dxa"/>
          </w:tcPr>
          <w:p w:rsidR="00276897" w:rsidRDefault="00276897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0"/>
              </w:rPr>
            </w:pPr>
          </w:p>
          <w:p w:rsidR="00276897" w:rsidRPr="00276897" w:rsidRDefault="00276897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276897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NO SHOW</w:t>
            </w:r>
          </w:p>
          <w:p w:rsidR="00276897" w:rsidRPr="00276897" w:rsidRDefault="00276897" w:rsidP="005E6058">
            <w:pPr>
              <w:ind w:right="144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530D8D">
              <w:rPr>
                <w:rFonts w:asciiTheme="minorHAnsi" w:hAnsiTheme="minorHAnsi"/>
                <w:color w:val="1F3864" w:themeColor="accent5" w:themeShade="80"/>
                <w:sz w:val="20"/>
              </w:rPr>
              <w:t>No refund of tuition (full or partial) is available for failure to attend the ITP.</w:t>
            </w:r>
          </w:p>
        </w:tc>
      </w:tr>
    </w:tbl>
    <w:p w:rsidR="00912B1C" w:rsidRPr="00912B1C" w:rsidRDefault="00912B1C" w:rsidP="007038D3">
      <w:pPr>
        <w:pStyle w:val="Footer"/>
        <w:rPr>
          <w:color w:val="000080"/>
          <w:sz w:val="16"/>
          <w:szCs w:val="16"/>
        </w:rPr>
      </w:pPr>
    </w:p>
    <w:sectPr w:rsidR="00912B1C" w:rsidRPr="00912B1C" w:rsidSect="00530D8D">
      <w:footerReference w:type="default" r:id="rId11"/>
      <w:pgSz w:w="12240" w:h="15840"/>
      <w:pgMar w:top="1296" w:right="72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FA" w:rsidRDefault="00FC68FA" w:rsidP="008D4C73">
      <w:pPr>
        <w:pStyle w:val="Footer"/>
      </w:pPr>
      <w:r>
        <w:separator/>
      </w:r>
    </w:p>
  </w:endnote>
  <w:endnote w:type="continuationSeparator" w:id="0">
    <w:p w:rsidR="00FC68FA" w:rsidRDefault="00FC68FA" w:rsidP="008D4C7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73" w:rsidRPr="00482563" w:rsidRDefault="007038D3" w:rsidP="00297710">
    <w:pPr>
      <w:pStyle w:val="Footer"/>
      <w:rPr>
        <w:rFonts w:ascii="Arial" w:hAnsi="Arial" w:cs="Arial"/>
        <w:color w:val="1F3864" w:themeColor="accent5" w:themeShade="80"/>
      </w:rPr>
    </w:pPr>
    <w:r w:rsidRPr="00482563">
      <w:rPr>
        <w:rFonts w:ascii="Arial" w:hAnsi="Arial" w:cs="Arial"/>
        <w:color w:val="1F3864" w:themeColor="accent5" w:themeShade="80"/>
        <w:sz w:val="16"/>
        <w:szCs w:val="16"/>
      </w:rPr>
      <w:t>© Copyright Main Event Management Corporation. All Rights Reserved.</w:t>
    </w:r>
    <w:r w:rsidR="00297710">
      <w:rPr>
        <w:color w:val="000080"/>
        <w:sz w:val="16"/>
        <w:szCs w:val="16"/>
      </w:rPr>
      <w:tab/>
      <w:t xml:space="preserve">         </w:t>
    </w:r>
    <w:r w:rsidR="00297710">
      <w:rPr>
        <w:color w:val="000080"/>
        <w:sz w:val="16"/>
        <w:szCs w:val="16"/>
      </w:rPr>
      <w:tab/>
      <w:t xml:space="preserve"> </w:t>
    </w:r>
    <w:r w:rsidR="00297710" w:rsidRPr="00482563">
      <w:rPr>
        <w:rFonts w:ascii="Arial" w:hAnsi="Arial" w:cs="Arial"/>
        <w:color w:val="1F3864" w:themeColor="accent5" w:themeShade="80"/>
        <w:sz w:val="16"/>
        <w:szCs w:val="16"/>
      </w:rPr>
      <w:t xml:space="preserve">Rev. </w:t>
    </w:r>
    <w:r w:rsidR="00276897">
      <w:rPr>
        <w:rFonts w:ascii="Arial" w:hAnsi="Arial" w:cs="Arial"/>
        <w:color w:val="1F3864" w:themeColor="accent5" w:themeShade="80"/>
        <w:sz w:val="16"/>
        <w:szCs w:val="16"/>
      </w:rPr>
      <w:t>2</w:t>
    </w:r>
    <w:r w:rsidR="00297710" w:rsidRPr="00482563">
      <w:rPr>
        <w:rFonts w:ascii="Arial" w:hAnsi="Arial" w:cs="Arial"/>
        <w:color w:val="1F3864" w:themeColor="accent5" w:themeShade="80"/>
        <w:sz w:val="16"/>
        <w:szCs w:val="16"/>
      </w:rPr>
      <w:t>.23.1</w:t>
    </w:r>
    <w:r w:rsidR="00276897">
      <w:rPr>
        <w:rFonts w:ascii="Arial" w:hAnsi="Arial" w:cs="Arial"/>
        <w:color w:val="1F3864" w:themeColor="accent5" w:themeShade="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FA" w:rsidRDefault="00FC68FA" w:rsidP="008D4C73">
      <w:pPr>
        <w:pStyle w:val="Footer"/>
      </w:pPr>
      <w:r>
        <w:separator/>
      </w:r>
    </w:p>
  </w:footnote>
  <w:footnote w:type="continuationSeparator" w:id="0">
    <w:p w:rsidR="00FC68FA" w:rsidRDefault="00FC68FA" w:rsidP="008D4C73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A40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829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E16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680268"/>
    <w:multiLevelType w:val="singleLevel"/>
    <w:tmpl w:val="F754FF40"/>
    <w:lvl w:ilvl="0">
      <w:start w:val="5"/>
      <w:numFmt w:val="bullet"/>
      <w:lvlText w:val="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5">
    <w:nsid w:val="53604BE6"/>
    <w:multiLevelType w:val="singleLevel"/>
    <w:tmpl w:val="D8D4D508"/>
    <w:lvl w:ilvl="0">
      <w:start w:val="15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6">
    <w:nsid w:val="5C672A25"/>
    <w:multiLevelType w:val="singleLevel"/>
    <w:tmpl w:val="FCAAC6F4"/>
    <w:lvl w:ilvl="0">
      <w:start w:val="15"/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5CBC6AAF"/>
    <w:multiLevelType w:val="singleLevel"/>
    <w:tmpl w:val="AB28C3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1561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B135CE"/>
    <w:multiLevelType w:val="singleLevel"/>
    <w:tmpl w:val="2CCCE7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82FBA"/>
    <w:multiLevelType w:val="singleLevel"/>
    <w:tmpl w:val="75DCD8A2"/>
    <w:lvl w:ilvl="0">
      <w:start w:val="5"/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1">
    <w:nsid w:val="7DF43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96"/>
    <w:rsid w:val="00042C9B"/>
    <w:rsid w:val="000B2FCC"/>
    <w:rsid w:val="000D2B37"/>
    <w:rsid w:val="00137384"/>
    <w:rsid w:val="00151A99"/>
    <w:rsid w:val="001758A4"/>
    <w:rsid w:val="001E2F40"/>
    <w:rsid w:val="001F0331"/>
    <w:rsid w:val="00217DD6"/>
    <w:rsid w:val="00251C34"/>
    <w:rsid w:val="00253F1D"/>
    <w:rsid w:val="002641EF"/>
    <w:rsid w:val="00276897"/>
    <w:rsid w:val="00297710"/>
    <w:rsid w:val="002E5DF8"/>
    <w:rsid w:val="002F0345"/>
    <w:rsid w:val="00313742"/>
    <w:rsid w:val="00340EF1"/>
    <w:rsid w:val="00396A0E"/>
    <w:rsid w:val="00473C10"/>
    <w:rsid w:val="00482563"/>
    <w:rsid w:val="00530D8D"/>
    <w:rsid w:val="00580597"/>
    <w:rsid w:val="00671676"/>
    <w:rsid w:val="006A3766"/>
    <w:rsid w:val="006A3CC2"/>
    <w:rsid w:val="006A7943"/>
    <w:rsid w:val="006E0C0B"/>
    <w:rsid w:val="006E6156"/>
    <w:rsid w:val="007038D3"/>
    <w:rsid w:val="00796BA9"/>
    <w:rsid w:val="007E38D6"/>
    <w:rsid w:val="00807662"/>
    <w:rsid w:val="0084217B"/>
    <w:rsid w:val="00852AD6"/>
    <w:rsid w:val="00894B6D"/>
    <w:rsid w:val="008C09AB"/>
    <w:rsid w:val="008D4C73"/>
    <w:rsid w:val="00911A95"/>
    <w:rsid w:val="00912B1C"/>
    <w:rsid w:val="009F0D5A"/>
    <w:rsid w:val="009F23B8"/>
    <w:rsid w:val="00A0466A"/>
    <w:rsid w:val="00A126EB"/>
    <w:rsid w:val="00AD110A"/>
    <w:rsid w:val="00AD2006"/>
    <w:rsid w:val="00B241C0"/>
    <w:rsid w:val="00B8080B"/>
    <w:rsid w:val="00B9500A"/>
    <w:rsid w:val="00C14E67"/>
    <w:rsid w:val="00C3009F"/>
    <w:rsid w:val="00C64796"/>
    <w:rsid w:val="00D87CAB"/>
    <w:rsid w:val="00DD1E3B"/>
    <w:rsid w:val="00DD34F3"/>
    <w:rsid w:val="00DF2B88"/>
    <w:rsid w:val="00E23668"/>
    <w:rsid w:val="00E65456"/>
    <w:rsid w:val="00EE565F"/>
    <w:rsid w:val="00F00D0C"/>
    <w:rsid w:val="00F5315E"/>
    <w:rsid w:val="00F72658"/>
    <w:rsid w:val="00F97F71"/>
    <w:rsid w:val="00FC68F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0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144"/>
      <w:outlineLvl w:val="5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0"/>
      </w:tabs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</w:pPr>
  </w:style>
  <w:style w:type="character" w:styleId="PageNumber">
    <w:name w:val="page number"/>
    <w:basedOn w:val="DefaultParagraphFont"/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semiHidden/>
    <w:rsid w:val="001E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0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144"/>
      <w:outlineLvl w:val="5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0"/>
      </w:tabs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</w:pPr>
  </w:style>
  <w:style w:type="character" w:styleId="PageNumber">
    <w:name w:val="page number"/>
    <w:basedOn w:val="DefaultParagraphFont"/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semiHidden/>
    <w:rsid w:val="001E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Nashville Instructor Training</vt:lpstr>
    </vt:vector>
  </TitlesOfParts>
  <Company>AGC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Nashville Instructor Training</dc:title>
  <dc:creator>Carmel Osborne</dc:creator>
  <cp:lastModifiedBy>Diane</cp:lastModifiedBy>
  <cp:revision>13</cp:revision>
  <cp:lastPrinted>2015-02-27T21:22:00Z</cp:lastPrinted>
  <dcterms:created xsi:type="dcterms:W3CDTF">2018-02-22T17:29:00Z</dcterms:created>
  <dcterms:modified xsi:type="dcterms:W3CDTF">2018-02-26T17:05:00Z</dcterms:modified>
</cp:coreProperties>
</file>